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63C6" w14:textId="77777777" w:rsidR="00000000" w:rsidRPr="00CA2F6D" w:rsidRDefault="00000000">
      <w:pPr>
        <w:pStyle w:val="Heading3"/>
        <w:spacing w:line="345" w:lineRule="atLeast"/>
        <w:divId w:val="1382245006"/>
        <w:rPr>
          <w:rFonts w:asciiTheme="minorHAnsi" w:eastAsia="Times New Roman" w:hAnsiTheme="minorHAnsi" w:cstheme="minorHAnsi"/>
          <w:b/>
          <w:bCs/>
          <w:sz w:val="26"/>
          <w:szCs w:val="26"/>
          <w:lang w:val="ro-RO"/>
        </w:rPr>
      </w:pPr>
      <w:r w:rsidRPr="00CA2F6D">
        <w:rPr>
          <w:rFonts w:asciiTheme="minorHAnsi" w:eastAsia="Times New Roman" w:hAnsiTheme="minorHAnsi" w:cstheme="minorHAnsi"/>
          <w:b/>
          <w:bCs/>
          <w:sz w:val="26"/>
          <w:szCs w:val="26"/>
          <w:lang w:val="ro-RO"/>
        </w:rPr>
        <w:t>Parlamentul României</w:t>
      </w:r>
    </w:p>
    <w:p w14:paraId="6783ABC0" w14:textId="77777777" w:rsidR="00000000" w:rsidRPr="00CA2F6D" w:rsidRDefault="00000000">
      <w:pPr>
        <w:pStyle w:val="Heading1"/>
        <w:divId w:val="1382245006"/>
        <w:rPr>
          <w:rFonts w:asciiTheme="minorHAnsi" w:eastAsia="Times New Roman" w:hAnsiTheme="minorHAnsi" w:cstheme="minorHAnsi"/>
          <w:b/>
          <w:bCs/>
          <w:color w:val="auto"/>
          <w:sz w:val="26"/>
          <w:szCs w:val="26"/>
          <w:lang w:val="ro-RO"/>
        </w:rPr>
      </w:pPr>
      <w:r w:rsidRPr="00CA2F6D">
        <w:rPr>
          <w:rFonts w:asciiTheme="minorHAnsi" w:eastAsia="Times New Roman" w:hAnsiTheme="minorHAnsi" w:cstheme="minorHAnsi"/>
          <w:b/>
          <w:bCs/>
          <w:color w:val="auto"/>
          <w:sz w:val="26"/>
          <w:szCs w:val="26"/>
          <w:lang w:val="ro-RO"/>
        </w:rPr>
        <w:t>Legea nr. 297/2022 pentru modificarea şi completarea Legii educaţiei naţionale nr. 1/2011</w:t>
      </w:r>
    </w:p>
    <w:p w14:paraId="4160C93B" w14:textId="517C4BCA" w:rsidR="00000000" w:rsidRPr="00CA2F6D" w:rsidRDefault="00000000">
      <w:pPr>
        <w:pStyle w:val="Heading3"/>
        <w:spacing w:line="345" w:lineRule="atLeast"/>
        <w:divId w:val="1382245006"/>
        <w:rPr>
          <w:rFonts w:asciiTheme="minorHAnsi" w:eastAsia="Times New Roman" w:hAnsiTheme="minorHAnsi" w:cstheme="minorHAnsi"/>
          <w:sz w:val="26"/>
          <w:szCs w:val="26"/>
          <w:lang w:val="ro-RO"/>
        </w:rPr>
      </w:pPr>
    </w:p>
    <w:p w14:paraId="3914A62A" w14:textId="77777777" w:rsidR="00000000" w:rsidRPr="00CA2F6D" w:rsidRDefault="00000000">
      <w:pPr>
        <w:spacing w:line="345" w:lineRule="atLeast"/>
        <w:jc w:val="both"/>
        <w:divId w:val="1382245006"/>
        <w:rPr>
          <w:rFonts w:eastAsia="Times New Roman" w:cstheme="minorHAnsi"/>
          <w:sz w:val="26"/>
          <w:szCs w:val="26"/>
          <w:lang w:val="ro-RO"/>
        </w:rPr>
      </w:pPr>
      <w:r w:rsidRPr="00CA2F6D">
        <w:rPr>
          <w:rFonts w:eastAsia="Times New Roman" w:cstheme="minorHAnsi"/>
          <w:sz w:val="26"/>
          <w:szCs w:val="26"/>
          <w:lang w:val="ro-RO"/>
        </w:rPr>
        <w:t xml:space="preserve">Publicat în Monitorul Oficial, Partea I nr. 1072 din 07 noiembrie 2022. Formă aplicabilă la zi, </w:t>
      </w:r>
      <w:r w:rsidRPr="00CA2F6D">
        <w:rPr>
          <w:rStyle w:val="js-calendar1"/>
          <w:rFonts w:eastAsia="Times New Roman" w:cstheme="minorHAnsi"/>
          <w:color w:val="auto"/>
          <w:sz w:val="26"/>
          <w:szCs w:val="26"/>
          <w:lang w:val="ro-RO"/>
        </w:rPr>
        <w:t>10 noiembrie 2022</w:t>
      </w:r>
      <w:r w:rsidRPr="00CA2F6D">
        <w:rPr>
          <w:rFonts w:eastAsia="Times New Roman" w:cstheme="minorHAnsi"/>
          <w:sz w:val="26"/>
          <w:szCs w:val="26"/>
          <w:lang w:val="ro-RO"/>
        </w:rPr>
        <w:t>.</w:t>
      </w:r>
    </w:p>
    <w:p w14:paraId="683768E8" w14:textId="77777777" w:rsidR="00000000" w:rsidRPr="00CA2F6D" w:rsidRDefault="00000000">
      <w:pPr>
        <w:spacing w:line="345" w:lineRule="atLeast"/>
        <w:jc w:val="both"/>
        <w:rPr>
          <w:rFonts w:eastAsia="Times New Roman" w:cstheme="minorHAnsi"/>
          <w:sz w:val="26"/>
          <w:szCs w:val="26"/>
          <w:lang w:val="ro-RO"/>
        </w:rPr>
      </w:pPr>
      <w:r w:rsidRPr="00CA2F6D">
        <w:rPr>
          <w:rFonts w:eastAsia="Times New Roman" w:cstheme="minorHAnsi"/>
          <w:sz w:val="26"/>
          <w:szCs w:val="26"/>
          <w:lang w:val="ro-RO"/>
        </w:rPr>
        <w:t>Parlamentul României adoptă prezenta lege.</w:t>
      </w:r>
    </w:p>
    <w:p w14:paraId="30C06958"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b/>
          <w:bCs/>
          <w:sz w:val="26"/>
          <w:szCs w:val="26"/>
          <w:lang w:val="ro-RO"/>
        </w:rPr>
        <w:t xml:space="preserve">Articol unic. - </w:t>
      </w:r>
      <w:r w:rsidRPr="00CA2F6D">
        <w:rPr>
          <w:rFonts w:asciiTheme="minorHAnsi" w:hAnsiTheme="minorHAnsi" w:cstheme="minorHAnsi"/>
          <w:sz w:val="26"/>
          <w:szCs w:val="26"/>
          <w:lang w:val="ro-RO"/>
        </w:rPr>
        <w:t xml:space="preserve">Legea educaţiei naţionale </w:t>
      </w:r>
      <w:hyperlink r:id="rId4" w:tgtFrame="_blank" w:history="1">
        <w:r w:rsidRPr="00CA2F6D">
          <w:rPr>
            <w:rStyle w:val="Hyperlink"/>
            <w:rFonts w:asciiTheme="minorHAnsi" w:hAnsiTheme="minorHAnsi" w:cstheme="minorHAnsi"/>
            <w:color w:val="auto"/>
            <w:sz w:val="26"/>
            <w:szCs w:val="26"/>
            <w:lang w:val="ro-RO"/>
          </w:rPr>
          <w:t>nr. 1/2011</w:t>
        </w:r>
      </w:hyperlink>
      <w:r w:rsidRPr="00CA2F6D">
        <w:rPr>
          <w:rFonts w:asciiTheme="minorHAnsi" w:hAnsiTheme="minorHAnsi" w:cstheme="minorHAnsi"/>
          <w:sz w:val="26"/>
          <w:szCs w:val="26"/>
          <w:lang w:val="ro-RO"/>
        </w:rPr>
        <w:t>, publicată în Monitorul Oficial al României, Partea I, nr. 18 din 10 ianuarie 2011, cu modificările şi completările ulterioare, se modifică şi se completează după cum urmează:</w:t>
      </w:r>
    </w:p>
    <w:p w14:paraId="60961F5F"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 xml:space="preserve">1. La articolul 42, alineatul (3) </w:t>
      </w:r>
      <w:hyperlink r:id="rId5" w:anchor="p-45726654" w:tgtFrame="_blank" w:history="1">
        <w:r w:rsidRPr="00CA2F6D">
          <w:rPr>
            <w:rStyle w:val="Hyperlink"/>
            <w:rFonts w:asciiTheme="minorHAnsi" w:hAnsiTheme="minorHAnsi" w:cstheme="minorHAnsi"/>
            <w:color w:val="auto"/>
            <w:sz w:val="26"/>
            <w:szCs w:val="26"/>
            <w:lang w:val="ro-RO"/>
          </w:rPr>
          <w:t>litera a)</w:t>
        </w:r>
      </w:hyperlink>
      <w:r w:rsidRPr="00CA2F6D">
        <w:rPr>
          <w:rFonts w:asciiTheme="minorHAnsi" w:hAnsiTheme="minorHAnsi" w:cstheme="minorHAnsi"/>
          <w:sz w:val="26"/>
          <w:szCs w:val="26"/>
          <w:lang w:val="ro-RO"/>
        </w:rPr>
        <w:t xml:space="preserve"> şi </w:t>
      </w:r>
      <w:hyperlink r:id="rId6" w:anchor="p-302753591" w:tgtFrame="_blank" w:history="1">
        <w:r w:rsidRPr="00CA2F6D">
          <w:rPr>
            <w:rStyle w:val="Hyperlink"/>
            <w:rFonts w:asciiTheme="minorHAnsi" w:hAnsiTheme="minorHAnsi" w:cstheme="minorHAnsi"/>
            <w:color w:val="auto"/>
            <w:sz w:val="26"/>
            <w:szCs w:val="26"/>
            <w:lang w:val="ro-RO"/>
          </w:rPr>
          <w:t>alineatul (4)</w:t>
        </w:r>
      </w:hyperlink>
      <w:r w:rsidRPr="00CA2F6D">
        <w:rPr>
          <w:rFonts w:asciiTheme="minorHAnsi" w:hAnsiTheme="minorHAnsi" w:cstheme="minorHAnsi"/>
          <w:sz w:val="26"/>
          <w:szCs w:val="26"/>
          <w:lang w:val="ro-RO"/>
        </w:rPr>
        <w:t xml:space="preserve"> se modifică şi vor avea următorul cuprins:</w:t>
      </w:r>
    </w:p>
    <w:p w14:paraId="7A3E6782" w14:textId="77777777" w:rsidR="00000000" w:rsidRPr="00CA2F6D" w:rsidRDefault="00000000">
      <w:pPr>
        <w:spacing w:line="345" w:lineRule="atLeast"/>
        <w:jc w:val="both"/>
        <w:rPr>
          <w:rFonts w:eastAsia="Times New Roman" w:cstheme="minorHAnsi"/>
          <w:sz w:val="26"/>
          <w:szCs w:val="26"/>
          <w:lang w:val="ro-RO"/>
        </w:rPr>
      </w:pPr>
      <w:r w:rsidRPr="00CA2F6D">
        <w:rPr>
          <w:rFonts w:eastAsia="Times New Roman" w:cstheme="minorHAnsi"/>
          <w:sz w:val="26"/>
          <w:szCs w:val="26"/>
          <w:lang w:val="ro-RO"/>
        </w:rPr>
        <w:t xml:space="preserve">" </w:t>
      </w:r>
    </w:p>
    <w:p w14:paraId="4715EAED"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a) şcolarizarea se poate realiza începând cu învăţământul primar;</w:t>
      </w:r>
    </w:p>
    <w:p w14:paraId="2EE253F3"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 . . . . . . . . .</w:t>
      </w:r>
    </w:p>
    <w:p w14:paraId="3BBB608D"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(4) Pentru activitatea artistică de performanţă, la propunerea autorităţilor administraţiei publice locale, a inspectoratelor şcolare, a Ministerului Culturii şi/sau a instituţiilor publice de cultură, Ministerul Educaţiei poate înfiinţa unităţi de învăţământ preuniversitar de stat/clase cu program de artă, integrat ori suplimentar."</w:t>
      </w:r>
    </w:p>
    <w:p w14:paraId="1E73E1CF"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 xml:space="preserve">2. La </w:t>
      </w:r>
      <w:hyperlink r:id="rId7" w:anchor="p-45726650" w:tgtFrame="_blank" w:history="1">
        <w:r w:rsidRPr="00CA2F6D">
          <w:rPr>
            <w:rStyle w:val="Hyperlink"/>
            <w:rFonts w:asciiTheme="minorHAnsi" w:hAnsiTheme="minorHAnsi" w:cstheme="minorHAnsi"/>
            <w:color w:val="auto"/>
            <w:sz w:val="26"/>
            <w:szCs w:val="26"/>
            <w:lang w:val="ro-RO"/>
          </w:rPr>
          <w:t>articolul 42</w:t>
        </w:r>
      </w:hyperlink>
      <w:r w:rsidRPr="00CA2F6D">
        <w:rPr>
          <w:rFonts w:asciiTheme="minorHAnsi" w:hAnsiTheme="minorHAnsi" w:cstheme="minorHAnsi"/>
          <w:sz w:val="26"/>
          <w:szCs w:val="26"/>
          <w:lang w:val="ro-RO"/>
        </w:rPr>
        <w:t xml:space="preserve">, după </w:t>
      </w:r>
      <w:hyperlink r:id="rId8" w:anchor="p-302753591" w:tgtFrame="_blank" w:history="1">
        <w:r w:rsidRPr="00CA2F6D">
          <w:rPr>
            <w:rStyle w:val="Hyperlink"/>
            <w:rFonts w:asciiTheme="minorHAnsi" w:hAnsiTheme="minorHAnsi" w:cstheme="minorHAnsi"/>
            <w:color w:val="auto"/>
            <w:sz w:val="26"/>
            <w:szCs w:val="26"/>
            <w:lang w:val="ro-RO"/>
          </w:rPr>
          <w:t>alineatul (4)</w:t>
        </w:r>
      </w:hyperlink>
      <w:r w:rsidRPr="00CA2F6D">
        <w:rPr>
          <w:rFonts w:asciiTheme="minorHAnsi" w:hAnsiTheme="minorHAnsi" w:cstheme="minorHAnsi"/>
          <w:sz w:val="26"/>
          <w:szCs w:val="26"/>
          <w:lang w:val="ro-RO"/>
        </w:rPr>
        <w:t xml:space="preserve"> se introduce un nou alineat, alin. (4</w:t>
      </w:r>
      <w:r w:rsidRPr="00CA2F6D">
        <w:rPr>
          <w:rFonts w:asciiTheme="minorHAnsi" w:hAnsiTheme="minorHAnsi" w:cstheme="minorHAnsi"/>
          <w:sz w:val="26"/>
          <w:szCs w:val="26"/>
          <w:vertAlign w:val="superscript"/>
          <w:lang w:val="ro-RO"/>
        </w:rPr>
        <w:t>1</w:t>
      </w:r>
      <w:r w:rsidRPr="00CA2F6D">
        <w:rPr>
          <w:rFonts w:asciiTheme="minorHAnsi" w:hAnsiTheme="minorHAnsi" w:cstheme="minorHAnsi"/>
          <w:sz w:val="26"/>
          <w:szCs w:val="26"/>
          <w:lang w:val="ro-RO"/>
        </w:rPr>
        <w:t>), cu următorul cuprins:</w:t>
      </w:r>
    </w:p>
    <w:p w14:paraId="5EAA7AD8" w14:textId="77777777" w:rsidR="00000000" w:rsidRPr="00CA2F6D" w:rsidRDefault="00000000">
      <w:pPr>
        <w:spacing w:line="345" w:lineRule="atLeast"/>
        <w:jc w:val="both"/>
        <w:rPr>
          <w:rFonts w:eastAsia="Times New Roman" w:cstheme="minorHAnsi"/>
          <w:sz w:val="26"/>
          <w:szCs w:val="26"/>
          <w:lang w:val="ro-RO"/>
        </w:rPr>
      </w:pPr>
      <w:r w:rsidRPr="00CA2F6D">
        <w:rPr>
          <w:rFonts w:eastAsia="Times New Roman" w:cstheme="minorHAnsi"/>
          <w:sz w:val="26"/>
          <w:szCs w:val="26"/>
          <w:lang w:val="ro-RO"/>
        </w:rPr>
        <w:t xml:space="preserve">" </w:t>
      </w:r>
    </w:p>
    <w:p w14:paraId="4D379698"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(4</w:t>
      </w:r>
      <w:r w:rsidRPr="00CA2F6D">
        <w:rPr>
          <w:rFonts w:asciiTheme="minorHAnsi" w:hAnsiTheme="minorHAnsi" w:cstheme="minorHAnsi"/>
          <w:sz w:val="26"/>
          <w:szCs w:val="26"/>
          <w:vertAlign w:val="superscript"/>
          <w:lang w:val="ro-RO"/>
        </w:rPr>
        <w:t>1</w:t>
      </w:r>
      <w:r w:rsidRPr="00CA2F6D">
        <w:rPr>
          <w:rFonts w:asciiTheme="minorHAnsi" w:hAnsiTheme="minorHAnsi" w:cstheme="minorHAnsi"/>
          <w:sz w:val="26"/>
          <w:szCs w:val="26"/>
          <w:lang w:val="ro-RO"/>
        </w:rPr>
        <w:t>) Pentru activitatea sportivă de performanţă, la propunerea autorităţilor administraţiei publice locale, a inspectoratelor şcolare, a Ministerului Sportului, a Comitetului Olimpic şi Sportiv Român, a Comitetului Naţional Paralimpic, a federaţiilor sportive naţionale, a cluburilor sportive şcolare, a cluburilor sportive universitare, a cluburilor sportive, a asociaţiilor sportive, Ministerul Educaţiei poate înfiinţa unităţi de învăţământ preuniversitar de stat/clase cu program sportiv, integrat ori suplimentar."</w:t>
      </w:r>
    </w:p>
    <w:p w14:paraId="68993529"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 xml:space="preserve">3. La articolul 43, </w:t>
      </w:r>
      <w:hyperlink r:id="rId9" w:anchor="p-303400699" w:tgtFrame="_blank" w:history="1">
        <w:r w:rsidRPr="00CA2F6D">
          <w:rPr>
            <w:rStyle w:val="Hyperlink"/>
            <w:rFonts w:asciiTheme="minorHAnsi" w:hAnsiTheme="minorHAnsi" w:cstheme="minorHAnsi"/>
            <w:color w:val="auto"/>
            <w:sz w:val="26"/>
            <w:szCs w:val="26"/>
            <w:u w:val="none"/>
            <w:lang w:val="ro-RO"/>
          </w:rPr>
          <w:t>alineatul (3)</w:t>
        </w:r>
      </w:hyperlink>
      <w:r w:rsidRPr="00CA2F6D">
        <w:rPr>
          <w:rFonts w:asciiTheme="minorHAnsi" w:hAnsiTheme="minorHAnsi" w:cstheme="minorHAnsi"/>
          <w:sz w:val="26"/>
          <w:szCs w:val="26"/>
          <w:lang w:val="ro-RO"/>
        </w:rPr>
        <w:t xml:space="preserve"> se modifică şi va avea următorul cuprins:</w:t>
      </w:r>
    </w:p>
    <w:p w14:paraId="58994DF8" w14:textId="77777777" w:rsidR="00000000" w:rsidRPr="00CA2F6D" w:rsidRDefault="00000000">
      <w:pPr>
        <w:spacing w:line="345" w:lineRule="atLeast"/>
        <w:jc w:val="both"/>
        <w:rPr>
          <w:rFonts w:eastAsia="Times New Roman" w:cstheme="minorHAnsi"/>
          <w:sz w:val="26"/>
          <w:szCs w:val="26"/>
          <w:lang w:val="ro-RO"/>
        </w:rPr>
      </w:pPr>
      <w:r w:rsidRPr="00CA2F6D">
        <w:rPr>
          <w:rFonts w:eastAsia="Times New Roman" w:cstheme="minorHAnsi"/>
          <w:sz w:val="26"/>
          <w:szCs w:val="26"/>
          <w:lang w:val="ro-RO"/>
        </w:rPr>
        <w:t xml:space="preserve">" </w:t>
      </w:r>
    </w:p>
    <w:p w14:paraId="0C510866"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(3) Ministerul Culturii şi celelalte ministere interesate, Comitetul Olimpic şi Sportiv Român, Comitetul Naţional Paralimpic, federaţiile sportive naţionale, autorităţile locale, precum şi instituţiile de cultură pot sprijini financiar şi material activităţile de performanţă în domeniul artelor, respectiv al sportului."</w:t>
      </w:r>
    </w:p>
    <w:p w14:paraId="1BBBFAB6"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 xml:space="preserve">4. După </w:t>
      </w:r>
      <w:hyperlink r:id="rId10" w:anchor="p-61165463" w:tgtFrame="_blank" w:history="1">
        <w:r w:rsidRPr="00CA2F6D">
          <w:rPr>
            <w:rStyle w:val="Hyperlink"/>
            <w:rFonts w:asciiTheme="minorHAnsi" w:hAnsiTheme="minorHAnsi" w:cstheme="minorHAnsi"/>
            <w:color w:val="auto"/>
            <w:sz w:val="26"/>
            <w:szCs w:val="26"/>
            <w:u w:val="none"/>
            <w:lang w:val="ro-RO"/>
          </w:rPr>
          <w:t>articolul 254</w:t>
        </w:r>
        <w:r w:rsidRPr="00CA2F6D">
          <w:rPr>
            <w:rStyle w:val="Hyperlink"/>
            <w:rFonts w:asciiTheme="minorHAnsi" w:hAnsiTheme="minorHAnsi" w:cstheme="minorHAnsi"/>
            <w:color w:val="auto"/>
            <w:sz w:val="26"/>
            <w:szCs w:val="26"/>
            <w:u w:val="none"/>
            <w:vertAlign w:val="superscript"/>
            <w:lang w:val="ro-RO"/>
          </w:rPr>
          <w:t>1</w:t>
        </w:r>
      </w:hyperlink>
      <w:r w:rsidRPr="00CA2F6D">
        <w:rPr>
          <w:rFonts w:asciiTheme="minorHAnsi" w:hAnsiTheme="minorHAnsi" w:cstheme="minorHAnsi"/>
          <w:sz w:val="26"/>
          <w:szCs w:val="26"/>
          <w:lang w:val="ro-RO"/>
        </w:rPr>
        <w:t xml:space="preserve"> se introduce un nou articol, art. 254</w:t>
      </w:r>
      <w:r w:rsidRPr="00CA2F6D">
        <w:rPr>
          <w:rFonts w:asciiTheme="minorHAnsi" w:hAnsiTheme="minorHAnsi" w:cstheme="minorHAnsi"/>
          <w:sz w:val="26"/>
          <w:szCs w:val="26"/>
          <w:vertAlign w:val="superscript"/>
          <w:lang w:val="ro-RO"/>
        </w:rPr>
        <w:t>2</w:t>
      </w:r>
      <w:r w:rsidRPr="00CA2F6D">
        <w:rPr>
          <w:rFonts w:asciiTheme="minorHAnsi" w:hAnsiTheme="minorHAnsi" w:cstheme="minorHAnsi"/>
          <w:sz w:val="26"/>
          <w:szCs w:val="26"/>
          <w:lang w:val="ro-RO"/>
        </w:rPr>
        <w:t>, cu următorul cuprins:</w:t>
      </w:r>
    </w:p>
    <w:p w14:paraId="7EF5D34A" w14:textId="086F8A44" w:rsidR="00000000" w:rsidRPr="00CA2F6D" w:rsidRDefault="00000000" w:rsidP="00CA2F6D">
      <w:pPr>
        <w:spacing w:line="345" w:lineRule="atLeast"/>
        <w:jc w:val="both"/>
        <w:rPr>
          <w:rFonts w:cstheme="minorHAnsi"/>
          <w:sz w:val="26"/>
          <w:szCs w:val="26"/>
          <w:lang w:val="ro-RO"/>
        </w:rPr>
      </w:pPr>
      <w:r w:rsidRPr="00CA2F6D">
        <w:rPr>
          <w:rFonts w:eastAsia="Times New Roman" w:cstheme="minorHAnsi"/>
          <w:sz w:val="26"/>
          <w:szCs w:val="26"/>
          <w:lang w:val="ro-RO"/>
        </w:rPr>
        <w:lastRenderedPageBreak/>
        <w:t xml:space="preserve">" </w:t>
      </w:r>
      <w:r w:rsidRPr="00CA2F6D">
        <w:rPr>
          <w:rFonts w:cstheme="minorHAnsi"/>
          <w:b/>
          <w:bCs/>
          <w:sz w:val="26"/>
          <w:szCs w:val="26"/>
          <w:lang w:val="ro-RO"/>
        </w:rPr>
        <w:t>Art. 254</w:t>
      </w:r>
      <w:r w:rsidRPr="00CA2F6D">
        <w:rPr>
          <w:rFonts w:cstheme="minorHAnsi"/>
          <w:b/>
          <w:bCs/>
          <w:sz w:val="26"/>
          <w:szCs w:val="26"/>
          <w:vertAlign w:val="superscript"/>
          <w:lang w:val="ro-RO"/>
        </w:rPr>
        <w:t>2</w:t>
      </w:r>
      <w:r w:rsidRPr="00CA2F6D">
        <w:rPr>
          <w:rFonts w:cstheme="minorHAnsi"/>
          <w:b/>
          <w:bCs/>
          <w:sz w:val="26"/>
          <w:szCs w:val="26"/>
          <w:lang w:val="ro-RO"/>
        </w:rPr>
        <w:t xml:space="preserve">. - </w:t>
      </w:r>
      <w:r w:rsidRPr="00CA2F6D">
        <w:rPr>
          <w:rFonts w:cstheme="minorHAnsi"/>
          <w:sz w:val="26"/>
          <w:szCs w:val="26"/>
          <w:lang w:val="ro-RO"/>
        </w:rPr>
        <w:t xml:space="preserve">Conform principiilor prevăzute la art. 3 lit. i) şi s), pentru ocuparea posturilor didactice/catedrelor vacante/rezervate care necesită atestate şi avize suplimentare, </w:t>
      </w:r>
      <w:r w:rsidRPr="00CA2F6D">
        <w:rPr>
          <w:rFonts w:cstheme="minorHAnsi"/>
          <w:b/>
          <w:bCs/>
          <w:sz w:val="26"/>
          <w:szCs w:val="26"/>
          <w:lang w:val="ro-RO"/>
        </w:rPr>
        <w:t>începând cu etapa de completare de normă didactică de predare, solicitanţii, inclusiv cadrele didactice titulare, trebuie să prezinte în perioadele de înscriere şi de verificare a dosarelor/validare a fişelor de înscriere la aceste etape avizele/documentele justificative necesare</w:t>
      </w:r>
      <w:r w:rsidRPr="00CA2F6D">
        <w:rPr>
          <w:rFonts w:cstheme="minorHAnsi"/>
          <w:sz w:val="26"/>
          <w:szCs w:val="26"/>
          <w:lang w:val="ro-RO"/>
        </w:rPr>
        <w:t>, după cum urmează:</w:t>
      </w:r>
    </w:p>
    <w:p w14:paraId="37B7AE47"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a) avizele eliberate de cultele recunoscute oficial de stat, pentru ocuparea catedrelor vacante/rezervate la disciplina Religie, în care se precizează etapa de mobilitate pentru care au fost eliberate;</w:t>
      </w:r>
    </w:p>
    <w:p w14:paraId="1CA59EF4"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b) avizul Inspectoratului General al Poliţiei Române/Autorităţii Rutiere Române, pentru ocuparea catedrelor de pregătire/instruire practică din domeniul «Transporturi/Conducerea autovehiculelor»;</w:t>
      </w:r>
    </w:p>
    <w:p w14:paraId="18CFC338"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c) avizul cultului sau avizul special al cultului recunoscut oficial de stat, în baza protocolului semnat cu Ministerul Educaţiei, pentru ocuparea tuturor posturilor didactice/catedrelor vacante/rezervate din cadrul seminarelor/liceelor vocaţionale teologice şi a posturilor didactice/catedrelor constituite din discipline teologice de specialitate, în care se precizează etapa de mobilitate pentru care au fost eliberate;</w:t>
      </w:r>
    </w:p>
    <w:p w14:paraId="7581073E"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d) avizul Ministerului Apărării Naţionale, avizul Ministerului Afacerilor Interne sau avizul Ministerului Justiţiei, pentru ocuparea posturilor didactice/catedrelor vacante/rezervate de la liceele militare, din unităţile de învăţământ preuniversitar din sistemul de apărare, de informaţii, de ordine publică şi de securitate naţională şi din unităţile de învăţământ subordonate Ministerului Justiţiei, în care se precizează etapa de mobilitate pentru care au fost eliberate;</w:t>
      </w:r>
    </w:p>
    <w:p w14:paraId="71FFD5CC"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e) acordul directorului liceului pedagogic eliberat în baza criteriilor stabilite de consiliul de administraţie al unităţii de învăţământ, avizat de inspectorul şcolar care coordonează activitatea liceelor pedagogice pentru ocuparea posturilor didactice/catedrelor vacante/rezervate de la clasele/grupele din profilul pedagogic, de la liceele cu profil pedagogic, calificările educator-puericultor, educatoare sau învăţător, constituite din disciplinele care se regăsesc în Regulamentul-cadru pentru organizarea şi funcţionarea învăţământului pedagogic în sistemul de învăţământ preuniversitar, aprobat prin ordin al ministrului educaţiei, în care se precizează etapa de mobilitate pentru care a fost eliberat."</w:t>
      </w:r>
    </w:p>
    <w:p w14:paraId="7EB9F21C" w14:textId="77777777" w:rsidR="00000000" w:rsidRPr="00CA2F6D" w:rsidRDefault="00000000">
      <w:pPr>
        <w:spacing w:line="345" w:lineRule="atLeast"/>
        <w:jc w:val="both"/>
        <w:rPr>
          <w:rFonts w:eastAsia="Times New Roman" w:cstheme="minorHAnsi"/>
          <w:sz w:val="26"/>
          <w:szCs w:val="26"/>
          <w:lang w:val="ro-RO"/>
        </w:rPr>
      </w:pPr>
      <w:r w:rsidRPr="00CA2F6D">
        <w:rPr>
          <w:rFonts w:eastAsia="Times New Roman" w:cstheme="minorHAnsi"/>
          <w:sz w:val="26"/>
          <w:szCs w:val="26"/>
          <w:lang w:val="ro-RO"/>
        </w:rPr>
        <w:t xml:space="preserve">Această lege a fost adoptată de Parlamentul României, cu respectarea prevederilor </w:t>
      </w:r>
      <w:hyperlink r:id="rId11" w:anchor="p-43226532" w:tgtFrame="_blank" w:history="1">
        <w:r w:rsidRPr="00CA2F6D">
          <w:rPr>
            <w:rStyle w:val="Hyperlink"/>
            <w:rFonts w:eastAsia="Times New Roman" w:cstheme="minorHAnsi"/>
            <w:color w:val="auto"/>
            <w:sz w:val="26"/>
            <w:szCs w:val="26"/>
            <w:u w:val="none"/>
            <w:lang w:val="ro-RO"/>
          </w:rPr>
          <w:t>art. 75</w:t>
        </w:r>
      </w:hyperlink>
      <w:r w:rsidRPr="00CA2F6D">
        <w:rPr>
          <w:rFonts w:eastAsia="Times New Roman" w:cstheme="minorHAnsi"/>
          <w:sz w:val="26"/>
          <w:szCs w:val="26"/>
          <w:lang w:val="ro-RO"/>
        </w:rPr>
        <w:t xml:space="preserve"> şi ale art. 76 </w:t>
      </w:r>
      <w:hyperlink r:id="rId12" w:anchor="p-43226542" w:tgtFrame="_blank" w:history="1">
        <w:r w:rsidRPr="00CA2F6D">
          <w:rPr>
            <w:rStyle w:val="Hyperlink"/>
            <w:rFonts w:eastAsia="Times New Roman" w:cstheme="minorHAnsi"/>
            <w:color w:val="auto"/>
            <w:sz w:val="26"/>
            <w:szCs w:val="26"/>
            <w:u w:val="none"/>
            <w:lang w:val="ro-RO"/>
          </w:rPr>
          <w:t>alin. (1)</w:t>
        </w:r>
      </w:hyperlink>
      <w:r w:rsidRPr="00CA2F6D">
        <w:rPr>
          <w:rFonts w:eastAsia="Times New Roman" w:cstheme="minorHAnsi"/>
          <w:sz w:val="26"/>
          <w:szCs w:val="26"/>
          <w:lang w:val="ro-RO"/>
        </w:rPr>
        <w:t xml:space="preserve"> din Constituţia României, republicată.</w:t>
      </w:r>
    </w:p>
    <w:p w14:paraId="52C2E861" w14:textId="3A180761" w:rsidR="00000000" w:rsidRPr="00CA2F6D" w:rsidRDefault="00000000">
      <w:pPr>
        <w:spacing w:line="345" w:lineRule="atLeast"/>
        <w:jc w:val="center"/>
        <w:rPr>
          <w:rFonts w:eastAsia="Times New Roman" w:cstheme="minorHAnsi"/>
          <w:b/>
          <w:bCs/>
          <w:sz w:val="26"/>
          <w:szCs w:val="26"/>
          <w:lang w:val="ro-RO"/>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6"/>
        <w:gridCol w:w="4498"/>
        <w:gridCol w:w="3071"/>
      </w:tblGrid>
      <w:tr w:rsidR="00CA2F6D" w:rsidRPr="00CA2F6D" w14:paraId="67F7E2DC" w14:textId="77777777">
        <w:trPr>
          <w:trHeight w:val="15"/>
          <w:jc w:val="center"/>
        </w:trPr>
        <w:tc>
          <w:tcPr>
            <w:tcW w:w="0" w:type="auto"/>
            <w:tcMar>
              <w:top w:w="0" w:type="dxa"/>
              <w:left w:w="0" w:type="dxa"/>
              <w:bottom w:w="0" w:type="dxa"/>
              <w:right w:w="0" w:type="dxa"/>
            </w:tcMar>
            <w:hideMark/>
          </w:tcPr>
          <w:p w14:paraId="1A59C2AF" w14:textId="77777777" w:rsidR="00000000" w:rsidRPr="00CA2F6D" w:rsidRDefault="00000000">
            <w:pPr>
              <w:spacing w:line="345" w:lineRule="atLeast"/>
              <w:jc w:val="center"/>
              <w:rPr>
                <w:rFonts w:eastAsia="Times New Roman" w:cstheme="minorHAnsi"/>
                <w:b/>
                <w:bCs/>
                <w:sz w:val="26"/>
                <w:szCs w:val="26"/>
                <w:lang w:val="ro-RO"/>
              </w:rPr>
            </w:pPr>
          </w:p>
        </w:tc>
        <w:tc>
          <w:tcPr>
            <w:tcW w:w="0" w:type="auto"/>
            <w:hideMark/>
          </w:tcPr>
          <w:p w14:paraId="008E6734" w14:textId="77777777" w:rsidR="00000000" w:rsidRPr="00CA2F6D" w:rsidRDefault="00000000">
            <w:pPr>
              <w:spacing w:line="345" w:lineRule="atLeast"/>
              <w:rPr>
                <w:rFonts w:eastAsia="Times New Roman" w:cstheme="minorHAnsi"/>
                <w:sz w:val="26"/>
                <w:szCs w:val="26"/>
                <w:lang w:val="ro-RO"/>
              </w:rPr>
            </w:pPr>
          </w:p>
        </w:tc>
        <w:tc>
          <w:tcPr>
            <w:tcW w:w="0" w:type="auto"/>
            <w:hideMark/>
          </w:tcPr>
          <w:p w14:paraId="7219EF22" w14:textId="77777777" w:rsidR="00000000" w:rsidRPr="00CA2F6D" w:rsidRDefault="00000000">
            <w:pPr>
              <w:spacing w:line="345" w:lineRule="atLeast"/>
              <w:rPr>
                <w:rFonts w:eastAsia="Times New Roman" w:cstheme="minorHAnsi"/>
                <w:sz w:val="26"/>
                <w:szCs w:val="26"/>
                <w:lang w:val="ro-RO"/>
              </w:rPr>
            </w:pPr>
          </w:p>
        </w:tc>
      </w:tr>
      <w:tr w:rsidR="00CA2F6D" w:rsidRPr="00CA2F6D" w14:paraId="4894B841" w14:textId="77777777">
        <w:trPr>
          <w:trHeight w:val="570"/>
          <w:jc w:val="center"/>
        </w:trPr>
        <w:tc>
          <w:tcPr>
            <w:tcW w:w="0" w:type="auto"/>
            <w:tcMar>
              <w:top w:w="0" w:type="dxa"/>
              <w:left w:w="0" w:type="dxa"/>
              <w:bottom w:w="0" w:type="dxa"/>
              <w:right w:w="0" w:type="dxa"/>
            </w:tcMar>
            <w:hideMark/>
          </w:tcPr>
          <w:p w14:paraId="2BC712E0" w14:textId="77777777" w:rsidR="00000000" w:rsidRPr="00CA2F6D" w:rsidRDefault="00000000">
            <w:pPr>
              <w:spacing w:line="345" w:lineRule="atLeast"/>
              <w:rPr>
                <w:rFonts w:eastAsia="Times New Roman" w:cstheme="minorHAnsi"/>
                <w:sz w:val="26"/>
                <w:szCs w:val="26"/>
                <w:lang w:val="ro-RO"/>
              </w:rPr>
            </w:pPr>
          </w:p>
        </w:tc>
        <w:tc>
          <w:tcPr>
            <w:tcW w:w="0" w:type="auto"/>
            <w:tcBorders>
              <w:top w:val="nil"/>
              <w:left w:val="nil"/>
              <w:bottom w:val="nil"/>
              <w:right w:val="nil"/>
            </w:tcBorders>
            <w:hideMark/>
          </w:tcPr>
          <w:p w14:paraId="0F2BE602" w14:textId="77777777" w:rsidR="00000000" w:rsidRPr="00CA2F6D" w:rsidRDefault="00000000">
            <w:pPr>
              <w:spacing w:line="345" w:lineRule="atLeast"/>
              <w:jc w:val="center"/>
              <w:rPr>
                <w:rFonts w:eastAsia="Times New Roman" w:cstheme="minorHAnsi"/>
                <w:sz w:val="26"/>
                <w:szCs w:val="26"/>
                <w:lang w:val="ro-RO"/>
              </w:rPr>
            </w:pPr>
            <w:r w:rsidRPr="00CA2F6D">
              <w:rPr>
                <w:rFonts w:eastAsia="Times New Roman" w:cstheme="minorHAnsi"/>
                <w:sz w:val="26"/>
                <w:szCs w:val="26"/>
                <w:lang w:val="ro-RO"/>
              </w:rPr>
              <w:t>PREŞEDINTELE CAMEREI DEPUTAŢILOR</w:t>
            </w:r>
            <w:r w:rsidRPr="00CA2F6D">
              <w:rPr>
                <w:rFonts w:eastAsia="Times New Roman" w:cstheme="minorHAnsi"/>
                <w:sz w:val="26"/>
                <w:szCs w:val="26"/>
                <w:lang w:val="ro-RO"/>
              </w:rPr>
              <w:br/>
              <w:t>ION-MARCEL CIOLACU</w:t>
            </w:r>
          </w:p>
        </w:tc>
        <w:tc>
          <w:tcPr>
            <w:tcW w:w="0" w:type="auto"/>
            <w:tcBorders>
              <w:top w:val="nil"/>
              <w:left w:val="nil"/>
              <w:bottom w:val="nil"/>
              <w:right w:val="nil"/>
            </w:tcBorders>
            <w:hideMark/>
          </w:tcPr>
          <w:p w14:paraId="22238AE8" w14:textId="77777777" w:rsidR="00000000" w:rsidRPr="00CA2F6D" w:rsidRDefault="00000000">
            <w:pPr>
              <w:spacing w:line="345" w:lineRule="atLeast"/>
              <w:jc w:val="center"/>
              <w:rPr>
                <w:rFonts w:eastAsia="Times New Roman" w:cstheme="minorHAnsi"/>
                <w:sz w:val="26"/>
                <w:szCs w:val="26"/>
                <w:lang w:val="ro-RO"/>
              </w:rPr>
            </w:pPr>
            <w:r w:rsidRPr="00CA2F6D">
              <w:rPr>
                <w:rFonts w:eastAsia="Times New Roman" w:cstheme="minorHAnsi"/>
                <w:sz w:val="26"/>
                <w:szCs w:val="26"/>
                <w:lang w:val="ro-RO"/>
              </w:rPr>
              <w:t>PREŞEDINTELE SENATULUI</w:t>
            </w:r>
            <w:r w:rsidRPr="00CA2F6D">
              <w:rPr>
                <w:rFonts w:eastAsia="Times New Roman" w:cstheme="minorHAnsi"/>
                <w:sz w:val="26"/>
                <w:szCs w:val="26"/>
                <w:lang w:val="ro-RO"/>
              </w:rPr>
              <w:br/>
              <w:t>FLORIN-VASILE CÎŢU</w:t>
            </w:r>
          </w:p>
        </w:tc>
      </w:tr>
    </w:tbl>
    <w:p w14:paraId="0C6D6484" w14:textId="77777777" w:rsidR="00000000" w:rsidRPr="00CA2F6D" w:rsidRDefault="00000000">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Bucureşti, 4 noiembrie 2022.</w:t>
      </w:r>
    </w:p>
    <w:p w14:paraId="6A6D4EEA" w14:textId="46DFE250" w:rsidR="009D0830" w:rsidRPr="00CA2F6D" w:rsidRDefault="00000000" w:rsidP="00CA2F6D">
      <w:pPr>
        <w:pStyle w:val="al"/>
        <w:spacing w:line="345" w:lineRule="atLeast"/>
        <w:rPr>
          <w:rFonts w:asciiTheme="minorHAnsi" w:hAnsiTheme="minorHAnsi" w:cstheme="minorHAnsi"/>
          <w:sz w:val="26"/>
          <w:szCs w:val="26"/>
          <w:lang w:val="ro-RO"/>
        </w:rPr>
      </w:pPr>
      <w:r w:rsidRPr="00CA2F6D">
        <w:rPr>
          <w:rFonts w:asciiTheme="minorHAnsi" w:hAnsiTheme="minorHAnsi" w:cstheme="minorHAnsi"/>
          <w:sz w:val="26"/>
          <w:szCs w:val="26"/>
          <w:lang w:val="ro-RO"/>
        </w:rPr>
        <w:t>Nr. 297.</w:t>
      </w:r>
      <w:r w:rsidRPr="00CA2F6D">
        <w:rPr>
          <w:rFonts w:asciiTheme="minorHAnsi" w:hAnsiTheme="minorHAnsi" w:cstheme="minorHAnsi"/>
          <w:sz w:val="26"/>
          <w:szCs w:val="26"/>
          <w:lang w:val="ro-RO"/>
        </w:rPr>
        <w:pict w14:anchorId="7E794B42"/>
      </w:r>
    </w:p>
    <w:sectPr w:rsidR="009D0830" w:rsidRPr="00CA2F6D" w:rsidSect="00CA2F6D">
      <w:pgSz w:w="12240" w:h="15840"/>
      <w:pgMar w:top="993"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830"/>
    <w:rsid w:val="009D0830"/>
    <w:rsid w:val="00CA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2B22"/>
  <w15:docId w15:val="{B4CC4003-BE0F-46F3-B864-234654B3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5006">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ztsobvgi/legea-educatiei-nationale-nr-1-2011?pid=302753591&amp;d=2022-11-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e5.ro/App/Document/geztsobvgi/legea-educatiei-nationale-nr-1-2011?pid=45726650&amp;d=2022-11-10" TargetMode="External"/><Relationship Id="rId12" Type="http://schemas.openxmlformats.org/officeDocument/2006/relationships/hyperlink" Target="http://lege5.ro/App/Document/gq4deojv/constitutia-romaniei-republicata-in-2003?pid=43226542&amp;d=2022-1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eztsobvgi/legea-educatiei-nationale-nr-1-2011?pid=302753591&amp;d=2022-11-10" TargetMode="External"/><Relationship Id="rId11" Type="http://schemas.openxmlformats.org/officeDocument/2006/relationships/hyperlink" Target="http://lege5.ro/App/Document/gq4deojv/constitutia-romaniei-republicata-in-2003?pid=43226532&amp;d=2022-11-10" TargetMode="External"/><Relationship Id="rId5" Type="http://schemas.openxmlformats.org/officeDocument/2006/relationships/hyperlink" Target="http://lege5.ro/App/Document/geztsobvgi/legea-educatiei-nationale-nr-1-2011?pid=45726654&amp;d=2022-11-10" TargetMode="External"/><Relationship Id="rId10" Type="http://schemas.openxmlformats.org/officeDocument/2006/relationships/hyperlink" Target="http://lege5.ro/App/Document/geztsobvgi/legea-educatiei-nationale-nr-1-2011?pid=61165463&amp;d=2022-11-10" TargetMode="External"/><Relationship Id="rId4" Type="http://schemas.openxmlformats.org/officeDocument/2006/relationships/hyperlink" Target="http://lege5.ro/App/Document/geztsobvgi/legea-educatiei-nationale-nr-1-2011?d=2022-11-10" TargetMode="External"/><Relationship Id="rId9" Type="http://schemas.openxmlformats.org/officeDocument/2006/relationships/hyperlink" Target="http://lege5.ro/App/Document/geztsobvgi/legea-educatiei-nationale-nr-1-2011?pid=303400699&amp;d=2022-1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Mocanu Mihai</cp:lastModifiedBy>
  <cp:revision>2</cp:revision>
  <dcterms:created xsi:type="dcterms:W3CDTF">2022-11-10T13:32:00Z</dcterms:created>
  <dcterms:modified xsi:type="dcterms:W3CDTF">2022-11-10T13:35:00Z</dcterms:modified>
</cp:coreProperties>
</file>